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C91A2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bCs/>
          <w:sz w:val="32"/>
          <w:szCs w:val="32"/>
          <w:lang w:val="en-US" w:eastAsia="zh-CN"/>
        </w:rPr>
      </w:pPr>
      <w:r>
        <w:rPr>
          <w:rFonts w:hint="eastAsia" w:ascii="宋体" w:hAnsi="宋体" w:eastAsia="宋体" w:cs="宋体"/>
          <w:b/>
          <w:bCs/>
          <w:sz w:val="32"/>
          <w:szCs w:val="32"/>
        </w:rPr>
        <w:t>《电子商务法教程》</w:t>
      </w:r>
      <w:r>
        <w:rPr>
          <w:rFonts w:hint="eastAsia" w:ascii="宋体" w:hAnsi="宋体" w:eastAsia="宋体" w:cs="宋体"/>
          <w:b/>
          <w:bCs/>
          <w:sz w:val="32"/>
          <w:szCs w:val="32"/>
          <w:lang w:val="en-US" w:eastAsia="zh-CN"/>
        </w:rPr>
        <w:t>基础教案</w:t>
      </w:r>
      <w:bookmarkStart w:id="0" w:name="_GoBack"/>
      <w:bookmarkEnd w:id="0"/>
    </w:p>
    <w:p w14:paraId="7F5EEC8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rPr>
      </w:pPr>
    </w:p>
    <w:p w14:paraId="6C322C22">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一、课程定位</w:t>
      </w:r>
    </w:p>
    <w:p w14:paraId="7548213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本课程是法学、电子商务、经济管理等专业的核心课程，以《中华人民共和国电子商务法》及相关配套法规（《网络交易监督管理办法》《网络交易执法协查暂行办法》等）为核心，结合电子商务实务场景，系统讲解电子商务法律体系的基本原理、规则与实践应用。课程兼具理论性与实务性，既注重阐释电子商务法的立法精神与法理逻辑，又通过典型案例、实践模拟等方式培养学生运用法律知识解决电子商务领域实际问题的能力，为学生未来从事电子商务法律实务、企业合规管理、监管执法等工作奠定基础，同时助力学生理解数字经济背景下电子商务法治建设的前沿动态。</w:t>
      </w:r>
    </w:p>
    <w:p w14:paraId="3F40FD6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p>
    <w:p w14:paraId="3DDC76E7">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二、课程目标</w:t>
      </w:r>
    </w:p>
    <w:p w14:paraId="3726DA8E">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（一）知识目标</w:t>
      </w:r>
    </w:p>
    <w:p w14:paraId="43CFC38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掌握电子商务法的基本概念、调整对象、立法目的与基本原则，明晰《电子商务法》与《民法典》《消费者权益保护法》《反不正当竞争法》等相关法律的衔接关系。</w:t>
      </w:r>
    </w:p>
    <w:p w14:paraId="6B96306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理解电子商务经营者（平台经营者、平台内经营者、自建网站经营者等）的主体资格、权利义务与法律责任，能准确区分不同类型经营者的合规要求。</w:t>
      </w:r>
    </w:p>
    <w:p w14:paraId="4AFA9A1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电子商务合同的订立（要约与承诺规则）、履行（标的交付、电子支付）流程及法律规制，掌握电子合同与传统合同的差异及特殊规则。</w:t>
      </w:r>
    </w:p>
    <w:p w14:paraId="0C24E6A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掌握电子商务交易保障体系，包括数据安全保护、市场公平竞争、消费者权益保护及争议解决机制的核心规则。</w:t>
      </w:r>
    </w:p>
    <w:p w14:paraId="673E98C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了解国家促进电子商务发展的基本原则与具体措施（基础设施建设、农村电商、跨境电商扶持等），以及电子商务监督管理体系与跨境电商监管的特殊要求。</w:t>
      </w:r>
    </w:p>
    <w:p w14:paraId="2EB8AA09">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（二）能力目标</w:t>
      </w:r>
    </w:p>
    <w:p w14:paraId="6AC022B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能</w:t>
      </w:r>
      <w:r>
        <w:rPr>
          <w:rFonts w:hint="eastAsia" w:ascii="宋体" w:hAnsi="宋体" w:eastAsia="宋体" w:cs="宋体"/>
          <w:sz w:val="21"/>
          <w:szCs w:val="21"/>
          <w:lang w:val="en-US" w:eastAsia="zh-CN"/>
        </w:rPr>
        <w:t>够</w:t>
      </w:r>
      <w:r>
        <w:rPr>
          <w:rFonts w:hint="eastAsia" w:ascii="宋体" w:hAnsi="宋体" w:eastAsia="宋体" w:cs="宋体"/>
          <w:sz w:val="21"/>
          <w:szCs w:val="21"/>
        </w:rPr>
        <w:t>运用电子商务法规则分析实务案例，准确判断电子商务交易中的法律关系（如平台与商家、消费者的权利义务纠纷），提出合规建议或纠纷解决方案。</w:t>
      </w:r>
    </w:p>
    <w:p w14:paraId="6D43FB9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具备电子商务合同全流程合规审查能力，能识别电子合同订立、履行中的法律风险（如格式条款无效情形、电子支付错误责任划分）。</w:t>
      </w:r>
    </w:p>
    <w:p w14:paraId="7B67022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能针对电子商务经营者（如平台、商家</w:t>
      </w:r>
      <w:r>
        <w:rPr>
          <w:rFonts w:hint="eastAsia" w:ascii="宋体" w:hAnsi="宋体" w:eastAsia="宋体" w:cs="宋体"/>
          <w:sz w:val="21"/>
          <w:szCs w:val="21"/>
          <w:lang w:val="en-US" w:eastAsia="zh-CN"/>
        </w:rPr>
        <w:t>等</w:t>
      </w:r>
      <w:r>
        <w:rPr>
          <w:rFonts w:hint="eastAsia" w:ascii="宋体" w:hAnsi="宋体" w:eastAsia="宋体" w:cs="宋体"/>
          <w:sz w:val="21"/>
          <w:szCs w:val="21"/>
        </w:rPr>
        <w:t>）设计基础合规方案，涵盖数据收集使用、消费者权益保护、公平竞争等核心环节。</w:t>
      </w:r>
    </w:p>
    <w:p w14:paraId="6C1210A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掌握电子商务争议解决的多元途径（协商、调解、行政投诉、仲裁、诉讼、在线争议解决），能模拟处理典型电子商务纠纷（如消费者维权、跨境电商备案争议</w:t>
      </w:r>
      <w:r>
        <w:rPr>
          <w:rFonts w:hint="eastAsia" w:ascii="宋体" w:hAnsi="宋体" w:eastAsia="宋体" w:cs="宋体"/>
          <w:sz w:val="21"/>
          <w:szCs w:val="21"/>
          <w:lang w:val="en-US" w:eastAsia="zh-CN"/>
        </w:rPr>
        <w:t>等</w:t>
      </w:r>
      <w:r>
        <w:rPr>
          <w:rFonts w:hint="eastAsia" w:ascii="宋体" w:hAnsi="宋体" w:eastAsia="宋体" w:cs="宋体"/>
          <w:sz w:val="21"/>
          <w:szCs w:val="21"/>
        </w:rPr>
        <w:t>）。</w:t>
      </w:r>
    </w:p>
    <w:p w14:paraId="76F8E8A3">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（三）素养目标</w:t>
      </w:r>
    </w:p>
    <w:p w14:paraId="0268698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树立数字经济背景下的法治思维，认识到电子商务合规对企业可持续发展、消费者权益保护及市场秩序维护的重要性。</w:t>
      </w:r>
    </w:p>
    <w:p w14:paraId="602A847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培养严谨的法律逻辑与实务操作意识，在分析电子商务法律问题时做到“以法条为依据、以案例为支撑”。</w:t>
      </w:r>
    </w:p>
    <w:p w14:paraId="7BEBDE2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增强对电子商务领域前沿法律问题（如大数据杀熟、跨境数据流动、直播电商合规</w:t>
      </w:r>
      <w:r>
        <w:rPr>
          <w:rFonts w:hint="eastAsia" w:ascii="宋体" w:hAnsi="宋体" w:eastAsia="宋体" w:cs="宋体"/>
          <w:sz w:val="21"/>
          <w:szCs w:val="21"/>
          <w:lang w:val="en-US" w:eastAsia="zh-CN"/>
        </w:rPr>
        <w:t>等</w:t>
      </w:r>
      <w:r>
        <w:rPr>
          <w:rFonts w:hint="eastAsia" w:ascii="宋体" w:hAnsi="宋体" w:eastAsia="宋体" w:cs="宋体"/>
          <w:sz w:val="21"/>
          <w:szCs w:val="21"/>
        </w:rPr>
        <w:t>）的关注与研究兴趣，具备持续学习电子商务法治动态的能力。</w:t>
      </w:r>
    </w:p>
    <w:p w14:paraId="0243446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p>
    <w:p w14:paraId="1798BABB">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三、课程内容与课时安排</w:t>
      </w:r>
    </w:p>
    <w:p w14:paraId="4B1253D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本课程共8章内容，总课时64课时，每周2课时，共16周。具体安排如下：</w:t>
      </w:r>
    </w:p>
    <w:tbl>
      <w:tblPr>
        <w:tblStyle w:val="7"/>
        <w:tblW w:w="9071" w:type="dxa"/>
        <w:jc w:val="center"/>
        <w:tblBorders>
          <w:top w:val="none" w:color="auto" w:sz="0" w:space="0"/>
          <w:left w:val="single" w:color="auto" w:sz="2" w:space="0"/>
          <w:bottom w:val="single" w:color="auto" w:sz="2" w:space="0"/>
          <w:right w:val="single" w:color="auto" w:sz="2" w:space="0"/>
          <w:insideH w:val="none" w:color="auto" w:sz="0" w:space="0"/>
          <w:insideV w:val="none" w:color="auto" w:sz="0" w:space="0"/>
        </w:tblBorders>
        <w:shd w:val="clear" w:color="auto" w:fill="auto"/>
        <w:tblLayout w:type="fixed"/>
        <w:tblCellMar>
          <w:top w:w="56" w:type="dxa"/>
          <w:left w:w="96" w:type="dxa"/>
          <w:bottom w:w="56" w:type="dxa"/>
          <w:right w:w="96" w:type="dxa"/>
        </w:tblCellMar>
      </w:tblPr>
      <w:tblGrid>
        <w:gridCol w:w="1005"/>
        <w:gridCol w:w="1515"/>
        <w:gridCol w:w="3825"/>
        <w:gridCol w:w="1335"/>
        <w:gridCol w:w="1391"/>
      </w:tblGrid>
      <w:tr w14:paraId="33A2003F">
        <w:tblPrEx>
          <w:tblBorders>
            <w:top w:val="none" w:color="auto" w:sz="0" w:space="0"/>
            <w:left w:val="single" w:color="auto" w:sz="2" w:space="0"/>
            <w:bottom w:val="single" w:color="auto" w:sz="2" w:space="0"/>
            <w:right w:val="single" w:color="auto" w:sz="2" w:space="0"/>
            <w:insideH w:val="none" w:color="auto" w:sz="0" w:space="0"/>
            <w:insideV w:val="none" w:color="auto" w:sz="0" w:space="0"/>
          </w:tblBorders>
          <w:shd w:val="clear" w:color="auto" w:fill="auto"/>
          <w:tblCellMar>
            <w:top w:w="56" w:type="dxa"/>
            <w:left w:w="96" w:type="dxa"/>
            <w:bottom w:w="56" w:type="dxa"/>
            <w:right w:w="96" w:type="dxa"/>
          </w:tblCellMar>
        </w:tblPrEx>
        <w:trPr>
          <w:trHeight w:val="0" w:hRule="atLeast"/>
          <w:tblHeader/>
          <w:jc w:val="center"/>
        </w:trPr>
        <w:tc>
          <w:tcPr>
            <w:tcW w:w="1005" w:type="dxa"/>
            <w:tcBorders>
              <w:top w:val="single" w:color="auto" w:sz="4" w:space="0"/>
              <w:left w:val="single" w:color="auto" w:sz="4" w:space="0"/>
              <w:bottom w:val="single" w:color="auto" w:sz="4" w:space="0"/>
              <w:right w:val="single" w:color="auto" w:sz="4" w:space="0"/>
            </w:tcBorders>
            <w:shd w:val="clear" w:color="auto" w:fill="auto"/>
            <w:vAlign w:val="center"/>
          </w:tcPr>
          <w:p w14:paraId="34FF5FE6">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sz w:val="21"/>
                <w:szCs w:val="21"/>
              </w:rPr>
            </w:pPr>
            <w:r>
              <w:rPr>
                <w:rFonts w:hint="eastAsia" w:ascii="宋体" w:hAnsi="宋体" w:eastAsia="宋体" w:cs="宋体"/>
                <w:b/>
                <w:sz w:val="21"/>
                <w:szCs w:val="21"/>
                <w:lang w:val="en-US" w:eastAsia="zh-CN"/>
              </w:rPr>
              <w:t>周次</w:t>
            </w:r>
          </w:p>
        </w:tc>
        <w:tc>
          <w:tcPr>
            <w:tcW w:w="1515" w:type="dxa"/>
            <w:tcBorders>
              <w:top w:val="single" w:color="auto" w:sz="4" w:space="0"/>
              <w:left w:val="single" w:color="auto" w:sz="4" w:space="0"/>
              <w:bottom w:val="single" w:color="auto" w:sz="4" w:space="0"/>
              <w:right w:val="single" w:color="auto" w:sz="4" w:space="0"/>
            </w:tcBorders>
            <w:shd w:val="clear" w:color="auto" w:fill="auto"/>
            <w:vAlign w:val="center"/>
          </w:tcPr>
          <w:p w14:paraId="7C977DD3">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sz w:val="21"/>
                <w:szCs w:val="21"/>
              </w:rPr>
            </w:pPr>
            <w:r>
              <w:rPr>
                <w:rFonts w:hint="eastAsia" w:ascii="宋体" w:hAnsi="宋体" w:eastAsia="宋体" w:cs="宋体"/>
                <w:b/>
                <w:sz w:val="21"/>
                <w:szCs w:val="21"/>
                <w:lang w:val="en-US" w:eastAsia="zh-CN"/>
              </w:rPr>
              <w:t>章节</w:t>
            </w:r>
          </w:p>
        </w:tc>
        <w:tc>
          <w:tcPr>
            <w:tcW w:w="3825" w:type="dxa"/>
            <w:tcBorders>
              <w:top w:val="single" w:color="auto" w:sz="4" w:space="0"/>
              <w:left w:val="single" w:color="auto" w:sz="4" w:space="0"/>
              <w:bottom w:val="single" w:color="auto" w:sz="4" w:space="0"/>
              <w:right w:val="single" w:color="auto" w:sz="4" w:space="0"/>
            </w:tcBorders>
            <w:shd w:val="clear" w:color="auto" w:fill="auto"/>
            <w:vAlign w:val="center"/>
          </w:tcPr>
          <w:p w14:paraId="5F4DE4C3">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sz w:val="21"/>
                <w:szCs w:val="21"/>
              </w:rPr>
            </w:pPr>
            <w:r>
              <w:rPr>
                <w:rFonts w:hint="eastAsia" w:ascii="宋体" w:hAnsi="宋体" w:eastAsia="宋体" w:cs="宋体"/>
                <w:b/>
                <w:sz w:val="21"/>
                <w:szCs w:val="21"/>
                <w:lang w:val="en-US" w:eastAsia="zh-CN"/>
              </w:rPr>
              <w:t>核心内容</w:t>
            </w:r>
          </w:p>
        </w:tc>
        <w:tc>
          <w:tcPr>
            <w:tcW w:w="1335" w:type="dxa"/>
            <w:tcBorders>
              <w:top w:val="single" w:color="auto" w:sz="4" w:space="0"/>
              <w:left w:val="single" w:color="auto" w:sz="4" w:space="0"/>
              <w:bottom w:val="single" w:color="auto" w:sz="4" w:space="0"/>
              <w:right w:val="single" w:color="auto" w:sz="4" w:space="0"/>
            </w:tcBorders>
            <w:shd w:val="clear" w:color="auto" w:fill="auto"/>
            <w:vAlign w:val="center"/>
          </w:tcPr>
          <w:p w14:paraId="256F522A">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sz w:val="21"/>
                <w:szCs w:val="21"/>
              </w:rPr>
            </w:pPr>
            <w:r>
              <w:rPr>
                <w:rFonts w:hint="eastAsia" w:ascii="宋体" w:hAnsi="宋体" w:eastAsia="宋体" w:cs="宋体"/>
                <w:b/>
                <w:sz w:val="21"/>
                <w:szCs w:val="21"/>
                <w:lang w:val="en-US" w:eastAsia="zh-CN"/>
              </w:rPr>
              <w:t>课时分配</w:t>
            </w:r>
          </w:p>
        </w:tc>
        <w:tc>
          <w:tcPr>
            <w:tcW w:w="1391" w:type="dxa"/>
            <w:tcBorders>
              <w:top w:val="single" w:color="auto" w:sz="4" w:space="0"/>
              <w:left w:val="single" w:color="auto" w:sz="4" w:space="0"/>
              <w:bottom w:val="single" w:color="auto" w:sz="4" w:space="0"/>
              <w:right w:val="single" w:color="auto" w:sz="4" w:space="0"/>
            </w:tcBorders>
            <w:shd w:val="clear" w:color="auto" w:fill="auto"/>
            <w:vAlign w:val="center"/>
          </w:tcPr>
          <w:p w14:paraId="46935BDF">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sz w:val="21"/>
                <w:szCs w:val="21"/>
              </w:rPr>
            </w:pPr>
            <w:r>
              <w:rPr>
                <w:rFonts w:hint="eastAsia" w:ascii="宋体" w:hAnsi="宋体" w:eastAsia="宋体" w:cs="宋体"/>
                <w:b/>
                <w:sz w:val="21"/>
                <w:szCs w:val="21"/>
                <w:lang w:val="en-US" w:eastAsia="zh-CN"/>
              </w:rPr>
              <w:t>教学形式</w:t>
            </w:r>
          </w:p>
        </w:tc>
      </w:tr>
      <w:tr w14:paraId="258537CB">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56" w:type="dxa"/>
            <w:left w:w="96" w:type="dxa"/>
            <w:bottom w:w="56" w:type="dxa"/>
            <w:right w:w="96" w:type="dxa"/>
          </w:tblCellMar>
        </w:tblPrEx>
        <w:trPr>
          <w:trHeight w:val="0" w:hRule="atLeast"/>
          <w:jc w:val="center"/>
        </w:trPr>
        <w:tc>
          <w:tcPr>
            <w:tcW w:w="1005" w:type="dxa"/>
            <w:tcBorders>
              <w:top w:val="single" w:color="auto" w:sz="4" w:space="0"/>
              <w:left w:val="single" w:color="auto" w:sz="4" w:space="0"/>
              <w:bottom w:val="single" w:color="auto" w:sz="4" w:space="0"/>
              <w:right w:val="single" w:color="auto" w:sz="4" w:space="0"/>
            </w:tcBorders>
            <w:shd w:val="clear" w:color="auto" w:fill="auto"/>
            <w:vAlign w:val="center"/>
          </w:tcPr>
          <w:p w14:paraId="1C52184A">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第1-2周</w:t>
            </w:r>
          </w:p>
        </w:tc>
        <w:tc>
          <w:tcPr>
            <w:tcW w:w="1515" w:type="dxa"/>
            <w:tcBorders>
              <w:top w:val="single" w:color="auto" w:sz="4" w:space="0"/>
              <w:left w:val="single" w:color="auto" w:sz="4" w:space="0"/>
              <w:bottom w:val="single" w:color="auto" w:sz="4" w:space="0"/>
              <w:right w:val="single" w:color="auto" w:sz="4" w:space="0"/>
            </w:tcBorders>
            <w:shd w:val="clear" w:color="auto" w:fill="auto"/>
            <w:vAlign w:val="center"/>
          </w:tcPr>
          <w:p w14:paraId="7E77159E">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第1章 电子商务及电子商务法</w:t>
            </w:r>
          </w:p>
        </w:tc>
        <w:tc>
          <w:tcPr>
            <w:tcW w:w="3825" w:type="dxa"/>
            <w:tcBorders>
              <w:top w:val="single" w:color="auto" w:sz="4" w:space="0"/>
              <w:left w:val="single" w:color="auto" w:sz="4" w:space="0"/>
              <w:bottom w:val="single" w:color="auto" w:sz="4" w:space="0"/>
              <w:right w:val="single" w:color="auto" w:sz="4" w:space="0"/>
            </w:tcBorders>
            <w:shd w:val="clear" w:color="auto" w:fill="auto"/>
            <w:vAlign w:val="center"/>
          </w:tcPr>
          <w:p w14:paraId="35F5F70B">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1.电子商务的概念、分类（B2B/B2C/C2C等）与特征（跨区域性、便捷性等）</w:t>
            </w:r>
          </w:p>
          <w:p w14:paraId="63C0CB3D">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2.电子商务法的概念（广义与狭义）、立法进程（2018年《电子商务法》出台及配套规章）</w:t>
            </w:r>
          </w:p>
          <w:p w14:paraId="66F245C1">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3.《电子商务法》的调整对象（排除金融类产品、新闻服务等）与立法目的</w:t>
            </w:r>
          </w:p>
          <w:p w14:paraId="78D61800">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4.《电子商务法》的基本原则（鼓励创新、自愿平等公平诚信、规范监管等）</w:t>
            </w:r>
          </w:p>
          <w:p w14:paraId="27D9130D">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5.案例分析：电子商务活动是否适用《电子商务法》的判定</w:t>
            </w:r>
          </w:p>
        </w:tc>
        <w:tc>
          <w:tcPr>
            <w:tcW w:w="1335" w:type="dxa"/>
            <w:tcBorders>
              <w:top w:val="single" w:color="auto" w:sz="4" w:space="0"/>
              <w:left w:val="single" w:color="auto" w:sz="4" w:space="0"/>
              <w:bottom w:val="single" w:color="auto" w:sz="4" w:space="0"/>
              <w:right w:val="single" w:color="auto" w:sz="4" w:space="0"/>
            </w:tcBorders>
            <w:shd w:val="clear" w:color="auto" w:fill="auto"/>
            <w:vAlign w:val="center"/>
          </w:tcPr>
          <w:p w14:paraId="6A4539E1">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4课时（理论讲授3课时+案例分析1课时）</w:t>
            </w:r>
          </w:p>
        </w:tc>
        <w:tc>
          <w:tcPr>
            <w:tcW w:w="1391" w:type="dxa"/>
            <w:tcBorders>
              <w:top w:val="single" w:color="auto" w:sz="4" w:space="0"/>
              <w:left w:val="single" w:color="auto" w:sz="4" w:space="0"/>
              <w:bottom w:val="single" w:color="auto" w:sz="4" w:space="0"/>
              <w:right w:val="single" w:color="auto" w:sz="4" w:space="0"/>
            </w:tcBorders>
            <w:shd w:val="clear" w:color="auto" w:fill="auto"/>
            <w:vAlign w:val="center"/>
          </w:tcPr>
          <w:p w14:paraId="223471E3">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理论讲授（法条解读+短视频辅助）、案例讨论（如“微商是否属于电子商务经营者”）</w:t>
            </w:r>
          </w:p>
        </w:tc>
      </w:tr>
      <w:tr w14:paraId="1FE6F96C">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shd w:val="clear" w:color="auto" w:fill="auto"/>
          <w:tblCellMar>
            <w:top w:w="56" w:type="dxa"/>
            <w:left w:w="96" w:type="dxa"/>
            <w:bottom w:w="56" w:type="dxa"/>
            <w:right w:w="96" w:type="dxa"/>
          </w:tblCellMar>
        </w:tblPrEx>
        <w:trPr>
          <w:trHeight w:val="0" w:hRule="atLeast"/>
          <w:jc w:val="center"/>
        </w:trPr>
        <w:tc>
          <w:tcPr>
            <w:tcW w:w="1005" w:type="dxa"/>
            <w:tcBorders>
              <w:top w:val="single" w:color="auto" w:sz="4" w:space="0"/>
              <w:left w:val="single" w:color="auto" w:sz="4" w:space="0"/>
              <w:bottom w:val="single" w:color="auto" w:sz="4" w:space="0"/>
              <w:right w:val="single" w:color="auto" w:sz="4" w:space="0"/>
            </w:tcBorders>
            <w:shd w:val="clear" w:color="auto" w:fill="auto"/>
            <w:vAlign w:val="center"/>
          </w:tcPr>
          <w:p w14:paraId="0331F5F5">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第3-4周</w:t>
            </w:r>
          </w:p>
        </w:tc>
        <w:tc>
          <w:tcPr>
            <w:tcW w:w="1515" w:type="dxa"/>
            <w:tcBorders>
              <w:top w:val="single" w:color="auto" w:sz="4" w:space="0"/>
              <w:left w:val="single" w:color="auto" w:sz="4" w:space="0"/>
              <w:bottom w:val="single" w:color="auto" w:sz="4" w:space="0"/>
              <w:right w:val="single" w:color="auto" w:sz="4" w:space="0"/>
            </w:tcBorders>
            <w:shd w:val="clear" w:color="auto" w:fill="auto"/>
            <w:vAlign w:val="center"/>
          </w:tcPr>
          <w:p w14:paraId="2AA8AAA5">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第2章 电子商务经营者</w:t>
            </w:r>
          </w:p>
        </w:tc>
        <w:tc>
          <w:tcPr>
            <w:tcW w:w="3825" w:type="dxa"/>
            <w:tcBorders>
              <w:top w:val="single" w:color="auto" w:sz="4" w:space="0"/>
              <w:left w:val="single" w:color="auto" w:sz="4" w:space="0"/>
              <w:bottom w:val="single" w:color="auto" w:sz="4" w:space="0"/>
              <w:right w:val="single" w:color="auto" w:sz="4" w:space="0"/>
            </w:tcBorders>
            <w:shd w:val="clear" w:color="auto" w:fill="auto"/>
            <w:vAlign w:val="center"/>
          </w:tcPr>
          <w:p w14:paraId="16728A4F">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1.电子商务经营者的概念、特征（法定性、营利性、虚拟性）与分类（平台经营者、平台内经营者等）</w:t>
            </w:r>
          </w:p>
          <w:p w14:paraId="4A681506">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2.电子商务经营者的市场准入（主体登记与豁免情形）与退出（主动退出30日公示义务）</w:t>
            </w:r>
          </w:p>
          <w:p w14:paraId="74198723">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3.电子商务经营者的一般义务（纳税、行政许可、信息公示、消费者权益保护等）</w:t>
            </w:r>
          </w:p>
          <w:p w14:paraId="2CAF42CF">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4.平台经营者的特殊权利（制定交易规则）与义务（核验登记、安全保障、知识产权保护等）</w:t>
            </w:r>
          </w:p>
          <w:p w14:paraId="562F5516">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5.案例分析：平台“二选一”行为的法律责任判定</w:t>
            </w:r>
          </w:p>
        </w:tc>
        <w:tc>
          <w:tcPr>
            <w:tcW w:w="1335" w:type="dxa"/>
            <w:tcBorders>
              <w:top w:val="single" w:color="auto" w:sz="4" w:space="0"/>
              <w:left w:val="single" w:color="auto" w:sz="4" w:space="0"/>
              <w:bottom w:val="single" w:color="auto" w:sz="4" w:space="0"/>
              <w:right w:val="single" w:color="auto" w:sz="4" w:space="0"/>
            </w:tcBorders>
            <w:shd w:val="clear" w:color="auto" w:fill="auto"/>
            <w:vAlign w:val="center"/>
          </w:tcPr>
          <w:p w14:paraId="670284E0">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4课时（理论讲授3课时+实践模拟1课时）</w:t>
            </w:r>
          </w:p>
        </w:tc>
        <w:tc>
          <w:tcPr>
            <w:tcW w:w="1391" w:type="dxa"/>
            <w:tcBorders>
              <w:top w:val="single" w:color="auto" w:sz="4" w:space="0"/>
              <w:left w:val="single" w:color="auto" w:sz="4" w:space="0"/>
              <w:bottom w:val="single" w:color="auto" w:sz="4" w:space="0"/>
              <w:right w:val="single" w:color="auto" w:sz="4" w:space="0"/>
            </w:tcBorders>
            <w:shd w:val="clear" w:color="auto" w:fill="auto"/>
            <w:vAlign w:val="center"/>
          </w:tcPr>
          <w:p w14:paraId="4123C14E">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理论讲授、实践模拟（模拟平台核验商家资质流程）</w:t>
            </w:r>
          </w:p>
        </w:tc>
      </w:tr>
      <w:tr w14:paraId="5B02E9BE">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56" w:type="dxa"/>
            <w:left w:w="96" w:type="dxa"/>
            <w:bottom w:w="56" w:type="dxa"/>
            <w:right w:w="96" w:type="dxa"/>
          </w:tblCellMar>
        </w:tblPrEx>
        <w:trPr>
          <w:trHeight w:val="0" w:hRule="atLeast"/>
          <w:jc w:val="center"/>
        </w:trPr>
        <w:tc>
          <w:tcPr>
            <w:tcW w:w="1005" w:type="dxa"/>
            <w:tcBorders>
              <w:top w:val="single" w:color="auto" w:sz="4" w:space="0"/>
              <w:left w:val="single" w:color="auto" w:sz="4" w:space="0"/>
              <w:bottom w:val="single" w:color="auto" w:sz="4" w:space="0"/>
              <w:right w:val="single" w:color="auto" w:sz="4" w:space="0"/>
            </w:tcBorders>
            <w:shd w:val="clear" w:color="auto" w:fill="auto"/>
            <w:vAlign w:val="center"/>
          </w:tcPr>
          <w:p w14:paraId="4AA4B9EF">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第5-6周</w:t>
            </w:r>
          </w:p>
        </w:tc>
        <w:tc>
          <w:tcPr>
            <w:tcW w:w="1515" w:type="dxa"/>
            <w:tcBorders>
              <w:top w:val="single" w:color="auto" w:sz="4" w:space="0"/>
              <w:left w:val="single" w:color="auto" w:sz="4" w:space="0"/>
              <w:bottom w:val="single" w:color="auto" w:sz="4" w:space="0"/>
              <w:right w:val="single" w:color="auto" w:sz="4" w:space="0"/>
            </w:tcBorders>
            <w:shd w:val="clear" w:color="auto" w:fill="auto"/>
            <w:vAlign w:val="center"/>
          </w:tcPr>
          <w:p w14:paraId="07B8B3D6">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第3章 电子商务合同的订立及履行</w:t>
            </w:r>
          </w:p>
        </w:tc>
        <w:tc>
          <w:tcPr>
            <w:tcW w:w="3825" w:type="dxa"/>
            <w:tcBorders>
              <w:top w:val="single" w:color="auto" w:sz="4" w:space="0"/>
              <w:left w:val="single" w:color="auto" w:sz="4" w:space="0"/>
              <w:bottom w:val="single" w:color="auto" w:sz="4" w:space="0"/>
              <w:right w:val="single" w:color="auto" w:sz="4" w:space="0"/>
            </w:tcBorders>
            <w:shd w:val="clear" w:color="auto" w:fill="auto"/>
            <w:vAlign w:val="center"/>
          </w:tcPr>
          <w:p w14:paraId="0C15B134">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1.电子商务合同的概念、特征（无纸化、功能等同化）与分类（点击合同、EDI合同等）</w:t>
            </w:r>
          </w:p>
          <w:p w14:paraId="034E2C59">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2.电子商务合同的订立：要约与承诺的认定（商品详情页是否构成要约）、合同成立时间（订单提交成功时）与地点</w:t>
            </w:r>
          </w:p>
          <w:p w14:paraId="4946459B">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3.电子商务合同的履行：标的交付时间（快递签收、在线传输检索识别时）、电子支付的当事人权利义务与责任划分</w:t>
            </w:r>
          </w:p>
          <w:p w14:paraId="2519A935">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4.案例分析：电子支付错误的责任承担、标的交付风险转移争议</w:t>
            </w:r>
          </w:p>
        </w:tc>
        <w:tc>
          <w:tcPr>
            <w:tcW w:w="1335" w:type="dxa"/>
            <w:tcBorders>
              <w:top w:val="single" w:color="auto" w:sz="4" w:space="0"/>
              <w:left w:val="single" w:color="auto" w:sz="4" w:space="0"/>
              <w:bottom w:val="single" w:color="auto" w:sz="4" w:space="0"/>
              <w:right w:val="single" w:color="auto" w:sz="4" w:space="0"/>
            </w:tcBorders>
            <w:shd w:val="clear" w:color="auto" w:fill="auto"/>
            <w:vAlign w:val="center"/>
          </w:tcPr>
          <w:p w14:paraId="675E20F1">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4课时（理论讲授3课时+案例研讨1课时）</w:t>
            </w:r>
          </w:p>
        </w:tc>
        <w:tc>
          <w:tcPr>
            <w:tcW w:w="1391" w:type="dxa"/>
            <w:tcBorders>
              <w:top w:val="single" w:color="auto" w:sz="4" w:space="0"/>
              <w:left w:val="single" w:color="auto" w:sz="4" w:space="0"/>
              <w:bottom w:val="single" w:color="auto" w:sz="4" w:space="0"/>
              <w:right w:val="single" w:color="auto" w:sz="4" w:space="0"/>
            </w:tcBorders>
            <w:shd w:val="clear" w:color="auto" w:fill="auto"/>
            <w:vAlign w:val="center"/>
          </w:tcPr>
          <w:p w14:paraId="149C1C9C">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理论讲授、案例研讨（如“消费者另行选择快递导致商品损坏的风险承担”）</w:t>
            </w:r>
          </w:p>
        </w:tc>
      </w:tr>
      <w:tr w14:paraId="51462A27">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56" w:type="dxa"/>
            <w:left w:w="96" w:type="dxa"/>
            <w:bottom w:w="56" w:type="dxa"/>
            <w:right w:w="96" w:type="dxa"/>
          </w:tblCellMar>
        </w:tblPrEx>
        <w:trPr>
          <w:trHeight w:val="0" w:hRule="atLeast"/>
          <w:jc w:val="center"/>
        </w:trPr>
        <w:tc>
          <w:tcPr>
            <w:tcW w:w="1005" w:type="dxa"/>
            <w:tcBorders>
              <w:top w:val="single" w:color="auto" w:sz="4" w:space="0"/>
              <w:left w:val="single" w:color="auto" w:sz="4" w:space="0"/>
              <w:bottom w:val="single" w:color="auto" w:sz="4" w:space="0"/>
              <w:right w:val="single" w:color="auto" w:sz="4" w:space="0"/>
            </w:tcBorders>
            <w:shd w:val="clear" w:color="auto" w:fill="auto"/>
            <w:vAlign w:val="center"/>
          </w:tcPr>
          <w:p w14:paraId="132791CD">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第7-8周</w:t>
            </w:r>
          </w:p>
        </w:tc>
        <w:tc>
          <w:tcPr>
            <w:tcW w:w="1515" w:type="dxa"/>
            <w:tcBorders>
              <w:top w:val="single" w:color="auto" w:sz="4" w:space="0"/>
              <w:left w:val="single" w:color="auto" w:sz="4" w:space="0"/>
              <w:bottom w:val="single" w:color="auto" w:sz="4" w:space="0"/>
              <w:right w:val="single" w:color="auto" w:sz="4" w:space="0"/>
            </w:tcBorders>
            <w:shd w:val="clear" w:color="auto" w:fill="auto"/>
            <w:vAlign w:val="center"/>
          </w:tcPr>
          <w:p w14:paraId="7F637747">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第4章 电子商务的交易保障</w:t>
            </w:r>
          </w:p>
        </w:tc>
        <w:tc>
          <w:tcPr>
            <w:tcW w:w="3825" w:type="dxa"/>
            <w:tcBorders>
              <w:top w:val="single" w:color="auto" w:sz="4" w:space="0"/>
              <w:left w:val="single" w:color="auto" w:sz="4" w:space="0"/>
              <w:bottom w:val="single" w:color="auto" w:sz="4" w:space="0"/>
              <w:right w:val="single" w:color="auto" w:sz="4" w:space="0"/>
            </w:tcBorders>
            <w:shd w:val="clear" w:color="auto" w:fill="auto"/>
            <w:vAlign w:val="center"/>
          </w:tcPr>
          <w:p w14:paraId="12DAA3A8">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1.电子商务数据保护：数据与个人信息的区分、数据处理者的安全保障义务（分类分级保护、风险补救）</w:t>
            </w:r>
          </w:p>
          <w:p w14:paraId="7B589B09">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2.电子商务市场秩序：不正当竞争行为（虚假宣传、流量劫持、滥用相对优势地位）与反垄断规制</w:t>
            </w:r>
          </w:p>
          <w:p w14:paraId="3DE6CA40">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3.消费者权益保护：消费者核心权利（知情权、反悔权）与经营者义务（真实信息披露、售后保障）</w:t>
            </w:r>
          </w:p>
          <w:p w14:paraId="1B5B7268">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4.电子商务争议解决：传统途径（协商、诉讼）与在线争议解决（ODR）机制</w:t>
            </w:r>
          </w:p>
          <w:p w14:paraId="2BB34C20">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5.案例分析：直播带货虚假宣传的责任划分、数据泄露的赔偿纠纷</w:t>
            </w:r>
          </w:p>
        </w:tc>
        <w:tc>
          <w:tcPr>
            <w:tcW w:w="1335" w:type="dxa"/>
            <w:tcBorders>
              <w:top w:val="single" w:color="auto" w:sz="4" w:space="0"/>
              <w:left w:val="single" w:color="auto" w:sz="4" w:space="0"/>
              <w:bottom w:val="single" w:color="auto" w:sz="4" w:space="0"/>
              <w:right w:val="single" w:color="auto" w:sz="4" w:space="0"/>
            </w:tcBorders>
            <w:shd w:val="clear" w:color="auto" w:fill="auto"/>
            <w:vAlign w:val="center"/>
          </w:tcPr>
          <w:p w14:paraId="01AD1424">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4课时（理论讲授3课时+实践模拟1课时）</w:t>
            </w:r>
          </w:p>
        </w:tc>
        <w:tc>
          <w:tcPr>
            <w:tcW w:w="1391" w:type="dxa"/>
            <w:tcBorders>
              <w:top w:val="single" w:color="auto" w:sz="4" w:space="0"/>
              <w:left w:val="single" w:color="auto" w:sz="4" w:space="0"/>
              <w:bottom w:val="single" w:color="auto" w:sz="4" w:space="0"/>
              <w:right w:val="single" w:color="auto" w:sz="4" w:space="0"/>
            </w:tcBorders>
            <w:shd w:val="clear" w:color="auto" w:fill="auto"/>
            <w:vAlign w:val="center"/>
          </w:tcPr>
          <w:p w14:paraId="72C9E4E8">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理论讲授、实践模拟（模拟消费者直播购物维权流程）</w:t>
            </w:r>
          </w:p>
        </w:tc>
      </w:tr>
      <w:tr w14:paraId="12BC7CE9">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shd w:val="clear" w:color="auto" w:fill="auto"/>
          <w:tblCellMar>
            <w:top w:w="56" w:type="dxa"/>
            <w:left w:w="96" w:type="dxa"/>
            <w:bottom w:w="56" w:type="dxa"/>
            <w:right w:w="96" w:type="dxa"/>
          </w:tblCellMar>
        </w:tblPrEx>
        <w:trPr>
          <w:trHeight w:val="0" w:hRule="atLeast"/>
          <w:jc w:val="center"/>
        </w:trPr>
        <w:tc>
          <w:tcPr>
            <w:tcW w:w="1005" w:type="dxa"/>
            <w:tcBorders>
              <w:top w:val="single" w:color="auto" w:sz="4" w:space="0"/>
              <w:left w:val="single" w:color="auto" w:sz="4" w:space="0"/>
              <w:bottom w:val="single" w:color="auto" w:sz="4" w:space="0"/>
              <w:right w:val="single" w:color="auto" w:sz="4" w:space="0"/>
            </w:tcBorders>
            <w:shd w:val="clear" w:color="auto" w:fill="auto"/>
            <w:vAlign w:val="center"/>
          </w:tcPr>
          <w:p w14:paraId="3E7EEC59">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第9-10周</w:t>
            </w:r>
          </w:p>
        </w:tc>
        <w:tc>
          <w:tcPr>
            <w:tcW w:w="1515" w:type="dxa"/>
            <w:tcBorders>
              <w:top w:val="single" w:color="auto" w:sz="4" w:space="0"/>
              <w:left w:val="single" w:color="auto" w:sz="4" w:space="0"/>
              <w:bottom w:val="single" w:color="auto" w:sz="4" w:space="0"/>
              <w:right w:val="single" w:color="auto" w:sz="4" w:space="0"/>
            </w:tcBorders>
            <w:shd w:val="clear" w:color="auto" w:fill="auto"/>
            <w:vAlign w:val="center"/>
          </w:tcPr>
          <w:p w14:paraId="5C804692">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第5章 电子商务的促进与发展</w:t>
            </w:r>
          </w:p>
        </w:tc>
        <w:tc>
          <w:tcPr>
            <w:tcW w:w="3825" w:type="dxa"/>
            <w:tcBorders>
              <w:top w:val="single" w:color="auto" w:sz="4" w:space="0"/>
              <w:left w:val="single" w:color="auto" w:sz="4" w:space="0"/>
              <w:bottom w:val="single" w:color="auto" w:sz="4" w:space="0"/>
              <w:right w:val="single" w:color="auto" w:sz="4" w:space="0"/>
            </w:tcBorders>
            <w:shd w:val="clear" w:color="auto" w:fill="auto"/>
            <w:vAlign w:val="center"/>
          </w:tcPr>
          <w:p w14:paraId="6EC987AD">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1.国家促进电子商务发展的基本原则（创新发展、绿色发展、融合发展）</w:t>
            </w:r>
          </w:p>
          <w:p w14:paraId="5E6A3C57">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2.具体促进措施：基础设施建设（物流网络、统计制度）、数据应用与共享、信用评价体系建设</w:t>
            </w:r>
          </w:p>
          <w:p w14:paraId="56CC9318">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3.农村电子商务发展（物流优化、品牌建设、精准扶贫）</w:t>
            </w:r>
          </w:p>
          <w:p w14:paraId="6F5CF226">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4.跨境电子商务发展：海关监管、税收优惠、海外仓支持</w:t>
            </w:r>
          </w:p>
          <w:p w14:paraId="39A7FE94">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5.案例分析：某县域农村电商促进方案设计、跨境电商综合试验区政策应用</w:t>
            </w:r>
          </w:p>
        </w:tc>
        <w:tc>
          <w:tcPr>
            <w:tcW w:w="1335" w:type="dxa"/>
            <w:tcBorders>
              <w:top w:val="single" w:color="auto" w:sz="4" w:space="0"/>
              <w:left w:val="single" w:color="auto" w:sz="4" w:space="0"/>
              <w:bottom w:val="single" w:color="auto" w:sz="4" w:space="0"/>
              <w:right w:val="single" w:color="auto" w:sz="4" w:space="0"/>
            </w:tcBorders>
            <w:shd w:val="clear" w:color="auto" w:fill="auto"/>
            <w:vAlign w:val="center"/>
          </w:tcPr>
          <w:p w14:paraId="581315B5">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4课时（理论讲授2课时+方案设计2课时）</w:t>
            </w:r>
          </w:p>
        </w:tc>
        <w:tc>
          <w:tcPr>
            <w:tcW w:w="1391" w:type="dxa"/>
            <w:tcBorders>
              <w:top w:val="single" w:color="auto" w:sz="4" w:space="0"/>
              <w:left w:val="single" w:color="auto" w:sz="4" w:space="0"/>
              <w:bottom w:val="single" w:color="auto" w:sz="4" w:space="0"/>
              <w:right w:val="single" w:color="auto" w:sz="4" w:space="0"/>
            </w:tcBorders>
            <w:shd w:val="clear" w:color="auto" w:fill="auto"/>
            <w:vAlign w:val="center"/>
          </w:tcPr>
          <w:p w14:paraId="244F6646">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理论讲授、小组任务（设计农村电商促进方案）</w:t>
            </w:r>
          </w:p>
        </w:tc>
      </w:tr>
      <w:tr w14:paraId="657C9781">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shd w:val="clear" w:color="auto" w:fill="auto"/>
          <w:tblCellMar>
            <w:top w:w="56" w:type="dxa"/>
            <w:left w:w="96" w:type="dxa"/>
            <w:bottom w:w="56" w:type="dxa"/>
            <w:right w:w="96" w:type="dxa"/>
          </w:tblCellMar>
        </w:tblPrEx>
        <w:trPr>
          <w:trHeight w:val="0" w:hRule="atLeast"/>
          <w:jc w:val="center"/>
        </w:trPr>
        <w:tc>
          <w:tcPr>
            <w:tcW w:w="1005" w:type="dxa"/>
            <w:tcBorders>
              <w:top w:val="single" w:color="auto" w:sz="4" w:space="0"/>
              <w:left w:val="single" w:color="auto" w:sz="4" w:space="0"/>
              <w:bottom w:val="single" w:color="auto" w:sz="4" w:space="0"/>
              <w:right w:val="single" w:color="auto" w:sz="4" w:space="0"/>
            </w:tcBorders>
            <w:shd w:val="clear" w:color="auto" w:fill="auto"/>
            <w:vAlign w:val="center"/>
          </w:tcPr>
          <w:p w14:paraId="11D5D3F7">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第11-12周</w:t>
            </w:r>
          </w:p>
        </w:tc>
        <w:tc>
          <w:tcPr>
            <w:tcW w:w="1515" w:type="dxa"/>
            <w:tcBorders>
              <w:top w:val="single" w:color="auto" w:sz="4" w:space="0"/>
              <w:left w:val="single" w:color="auto" w:sz="4" w:space="0"/>
              <w:bottom w:val="single" w:color="auto" w:sz="4" w:space="0"/>
              <w:right w:val="single" w:color="auto" w:sz="4" w:space="0"/>
            </w:tcBorders>
            <w:shd w:val="clear" w:color="auto" w:fill="auto"/>
            <w:vAlign w:val="center"/>
          </w:tcPr>
          <w:p w14:paraId="42226B71">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第6章 电子商务的监督管理</w:t>
            </w:r>
          </w:p>
        </w:tc>
        <w:tc>
          <w:tcPr>
            <w:tcW w:w="3825" w:type="dxa"/>
            <w:tcBorders>
              <w:top w:val="single" w:color="auto" w:sz="4" w:space="0"/>
              <w:left w:val="single" w:color="auto" w:sz="4" w:space="0"/>
              <w:bottom w:val="single" w:color="auto" w:sz="4" w:space="0"/>
              <w:right w:val="single" w:color="auto" w:sz="4" w:space="0"/>
            </w:tcBorders>
            <w:shd w:val="clear" w:color="auto" w:fill="auto"/>
            <w:vAlign w:val="center"/>
          </w:tcPr>
          <w:p w14:paraId="61095B36">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1.电子商务监督管理的基本原则（鼓励创新、包容审慎、严守底线、线上线下一体化）</w:t>
            </w:r>
          </w:p>
          <w:p w14:paraId="3581FA7C">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2.监督管理体系：横向（市场监管、海关、税务等部门协作）与纵向（国家-省-市-县四级监管）体系</w:t>
            </w:r>
          </w:p>
          <w:p w14:paraId="05CD7EB5">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3.具体监管措施：行政检查、信息公示、行政处罚、信用监管</w:t>
            </w:r>
          </w:p>
          <w:p w14:paraId="6919BF9F">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4.电子商务经营者的法律责任：民事责任（违约、侵权）、行政责任（罚款、吊销许可）、刑事责任（非法获取个人信息罪等）</w:t>
            </w:r>
          </w:p>
          <w:p w14:paraId="3EB41756">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5.案例分析：平台未履行商家审核义务的行政处罚</w:t>
            </w:r>
          </w:p>
        </w:tc>
        <w:tc>
          <w:tcPr>
            <w:tcW w:w="1335" w:type="dxa"/>
            <w:tcBorders>
              <w:top w:val="single" w:color="auto" w:sz="4" w:space="0"/>
              <w:left w:val="single" w:color="auto" w:sz="4" w:space="0"/>
              <w:bottom w:val="single" w:color="auto" w:sz="4" w:space="0"/>
              <w:right w:val="single" w:color="auto" w:sz="4" w:space="0"/>
            </w:tcBorders>
            <w:shd w:val="clear" w:color="auto" w:fill="auto"/>
            <w:vAlign w:val="center"/>
          </w:tcPr>
          <w:p w14:paraId="07F9D4B8">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4课时（理论讲授3课时+案例分析1课时）</w:t>
            </w:r>
          </w:p>
        </w:tc>
        <w:tc>
          <w:tcPr>
            <w:tcW w:w="1391" w:type="dxa"/>
            <w:tcBorders>
              <w:top w:val="single" w:color="auto" w:sz="4" w:space="0"/>
              <w:left w:val="single" w:color="auto" w:sz="4" w:space="0"/>
              <w:bottom w:val="single" w:color="auto" w:sz="4" w:space="0"/>
              <w:right w:val="single" w:color="auto" w:sz="4" w:space="0"/>
            </w:tcBorders>
            <w:shd w:val="clear" w:color="auto" w:fill="auto"/>
            <w:vAlign w:val="center"/>
          </w:tcPr>
          <w:p w14:paraId="36E57C93">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理论讲授、案例分析（如“平台因未核验食品经营许可证被处罚”）</w:t>
            </w:r>
          </w:p>
        </w:tc>
      </w:tr>
      <w:tr w14:paraId="5782E717">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56" w:type="dxa"/>
            <w:left w:w="96" w:type="dxa"/>
            <w:bottom w:w="56" w:type="dxa"/>
            <w:right w:w="96" w:type="dxa"/>
          </w:tblCellMar>
        </w:tblPrEx>
        <w:trPr>
          <w:trHeight w:val="0" w:hRule="atLeast"/>
          <w:jc w:val="center"/>
        </w:trPr>
        <w:tc>
          <w:tcPr>
            <w:tcW w:w="1005" w:type="dxa"/>
            <w:tcBorders>
              <w:top w:val="single" w:color="auto" w:sz="4" w:space="0"/>
              <w:left w:val="single" w:color="auto" w:sz="4" w:space="0"/>
              <w:bottom w:val="single" w:color="auto" w:sz="4" w:space="0"/>
              <w:right w:val="single" w:color="auto" w:sz="4" w:space="0"/>
            </w:tcBorders>
            <w:shd w:val="clear" w:color="auto" w:fill="auto"/>
            <w:vAlign w:val="center"/>
          </w:tcPr>
          <w:p w14:paraId="66D7B2E4">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第13-14周</w:t>
            </w:r>
          </w:p>
        </w:tc>
        <w:tc>
          <w:tcPr>
            <w:tcW w:w="1515" w:type="dxa"/>
            <w:tcBorders>
              <w:top w:val="single" w:color="auto" w:sz="4" w:space="0"/>
              <w:left w:val="single" w:color="auto" w:sz="4" w:space="0"/>
              <w:bottom w:val="single" w:color="auto" w:sz="4" w:space="0"/>
              <w:right w:val="single" w:color="auto" w:sz="4" w:space="0"/>
            </w:tcBorders>
            <w:shd w:val="clear" w:color="auto" w:fill="auto"/>
            <w:vAlign w:val="center"/>
          </w:tcPr>
          <w:p w14:paraId="44C431A8">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第7章 跨境电子商务的发展与监管</w:t>
            </w:r>
          </w:p>
        </w:tc>
        <w:tc>
          <w:tcPr>
            <w:tcW w:w="3825" w:type="dxa"/>
            <w:tcBorders>
              <w:top w:val="single" w:color="auto" w:sz="4" w:space="0"/>
              <w:left w:val="single" w:color="auto" w:sz="4" w:space="0"/>
              <w:bottom w:val="single" w:color="auto" w:sz="4" w:space="0"/>
              <w:right w:val="single" w:color="auto" w:sz="4" w:space="0"/>
            </w:tcBorders>
            <w:shd w:val="clear" w:color="auto" w:fill="auto"/>
            <w:vAlign w:val="center"/>
          </w:tcPr>
          <w:p w14:paraId="2B98DD6A">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1.跨境电子商务的概念、特征（跨境性、复杂性）与业态（B2B跨境电商、跨境直播等）</w:t>
            </w:r>
          </w:p>
          <w:p w14:paraId="44992ED5">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2.跨境电商的特殊管理制度：海关监管（清单申报、保税仓储）、税收政策（免税额度、综合税）、检验检疫</w:t>
            </w:r>
          </w:p>
          <w:p w14:paraId="7DB17C6F">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3.跨境电商的国际合作：“一带一路”电商合作、跨境争议解决（国际调解、司法协助）</w:t>
            </w:r>
          </w:p>
          <w:p w14:paraId="05CC4895">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4.跨境电商的风险与应对：合规风险（进口国质量标准）、物流风险（清关受阻）的化解策略</w:t>
            </w:r>
          </w:p>
          <w:p w14:paraId="7DE957FC">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5.案例分析：跨境电商未办理备案被海关查处的合规整改</w:t>
            </w:r>
          </w:p>
        </w:tc>
        <w:tc>
          <w:tcPr>
            <w:tcW w:w="1335" w:type="dxa"/>
            <w:tcBorders>
              <w:top w:val="single" w:color="auto" w:sz="4" w:space="0"/>
              <w:left w:val="single" w:color="auto" w:sz="4" w:space="0"/>
              <w:bottom w:val="single" w:color="auto" w:sz="4" w:space="0"/>
              <w:right w:val="single" w:color="auto" w:sz="4" w:space="0"/>
            </w:tcBorders>
            <w:shd w:val="clear" w:color="auto" w:fill="auto"/>
            <w:vAlign w:val="center"/>
          </w:tcPr>
          <w:p w14:paraId="28FBF61E">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4课时（理论讲授3课时+合规规划1课时）</w:t>
            </w:r>
          </w:p>
        </w:tc>
        <w:tc>
          <w:tcPr>
            <w:tcW w:w="1391" w:type="dxa"/>
            <w:tcBorders>
              <w:top w:val="single" w:color="auto" w:sz="4" w:space="0"/>
              <w:left w:val="single" w:color="auto" w:sz="4" w:space="0"/>
              <w:bottom w:val="single" w:color="auto" w:sz="4" w:space="0"/>
              <w:right w:val="single" w:color="auto" w:sz="4" w:space="0"/>
            </w:tcBorders>
            <w:shd w:val="clear" w:color="auto" w:fill="auto"/>
            <w:vAlign w:val="center"/>
          </w:tcPr>
          <w:p w14:paraId="4E111970">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理论讲授、小组任务（设计跨境电商欧盟市场合规方案）</w:t>
            </w:r>
          </w:p>
        </w:tc>
      </w:tr>
      <w:tr w14:paraId="17A1EF56">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shd w:val="clear" w:color="auto" w:fill="auto"/>
          <w:tblCellMar>
            <w:top w:w="56" w:type="dxa"/>
            <w:left w:w="96" w:type="dxa"/>
            <w:bottom w:w="56" w:type="dxa"/>
            <w:right w:w="96" w:type="dxa"/>
          </w:tblCellMar>
        </w:tblPrEx>
        <w:trPr>
          <w:trHeight w:val="0" w:hRule="atLeast"/>
          <w:jc w:val="center"/>
        </w:trPr>
        <w:tc>
          <w:tcPr>
            <w:tcW w:w="1005" w:type="dxa"/>
            <w:tcBorders>
              <w:top w:val="single" w:color="auto" w:sz="4" w:space="0"/>
              <w:left w:val="single" w:color="auto" w:sz="4" w:space="0"/>
              <w:bottom w:val="single" w:color="auto" w:sz="4" w:space="0"/>
              <w:right w:val="single" w:color="auto" w:sz="4" w:space="0"/>
            </w:tcBorders>
            <w:shd w:val="clear" w:color="auto" w:fill="auto"/>
            <w:vAlign w:val="center"/>
          </w:tcPr>
          <w:p w14:paraId="5BDFA2BE">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第15-16周</w:t>
            </w:r>
          </w:p>
        </w:tc>
        <w:tc>
          <w:tcPr>
            <w:tcW w:w="1515" w:type="dxa"/>
            <w:tcBorders>
              <w:top w:val="single" w:color="auto" w:sz="4" w:space="0"/>
              <w:left w:val="single" w:color="auto" w:sz="4" w:space="0"/>
              <w:bottom w:val="single" w:color="auto" w:sz="4" w:space="0"/>
              <w:right w:val="single" w:color="auto" w:sz="4" w:space="0"/>
            </w:tcBorders>
            <w:shd w:val="clear" w:color="auto" w:fill="auto"/>
            <w:vAlign w:val="center"/>
          </w:tcPr>
          <w:p w14:paraId="2A736B29">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第8章 电子商务经营者的法律责任</w:t>
            </w:r>
          </w:p>
        </w:tc>
        <w:tc>
          <w:tcPr>
            <w:tcW w:w="3825" w:type="dxa"/>
            <w:tcBorders>
              <w:top w:val="single" w:color="auto" w:sz="4" w:space="0"/>
              <w:left w:val="single" w:color="auto" w:sz="4" w:space="0"/>
              <w:bottom w:val="single" w:color="auto" w:sz="4" w:space="0"/>
              <w:right w:val="single" w:color="auto" w:sz="4" w:space="0"/>
            </w:tcBorders>
            <w:shd w:val="clear" w:color="auto" w:fill="auto"/>
            <w:vAlign w:val="center"/>
          </w:tcPr>
          <w:p w14:paraId="71DFA2EC">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1.电子商务经营者法律责任概述：责任类型（民事/行政/刑事）与归责原则（过错责任、无过错责任）</w:t>
            </w:r>
          </w:p>
          <w:p w14:paraId="0D7F5A4A">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2.平台经营者的特殊责任：连带责任（明知商家侵权未采取措施）、补充责任（未尽安全保障义务）、先行赔付责任</w:t>
            </w:r>
          </w:p>
          <w:p w14:paraId="6C0954FB">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3.平台内经营者与自建网站经营者的责任差异：商品质量责任、虚假宣传责任</w:t>
            </w:r>
          </w:p>
          <w:p w14:paraId="4EF5061F">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4.责任免责情形：不可抗力、用户过错的举证要求</w:t>
            </w:r>
          </w:p>
          <w:p w14:paraId="0255CEAE">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5.综合案例分析：平台多违规行为（数据泄露+删除差评）的责任认定与整改</w:t>
            </w:r>
          </w:p>
        </w:tc>
        <w:tc>
          <w:tcPr>
            <w:tcW w:w="1335" w:type="dxa"/>
            <w:tcBorders>
              <w:top w:val="single" w:color="auto" w:sz="4" w:space="0"/>
              <w:left w:val="single" w:color="auto" w:sz="4" w:space="0"/>
              <w:bottom w:val="single" w:color="auto" w:sz="4" w:space="0"/>
              <w:right w:val="single" w:color="auto" w:sz="4" w:space="0"/>
            </w:tcBorders>
            <w:shd w:val="clear" w:color="auto" w:fill="auto"/>
            <w:vAlign w:val="center"/>
          </w:tcPr>
          <w:p w14:paraId="1E1FFBF9">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4课时（理论讲授2课时+综合案例研讨2课时）</w:t>
            </w:r>
          </w:p>
        </w:tc>
        <w:tc>
          <w:tcPr>
            <w:tcW w:w="1391" w:type="dxa"/>
            <w:tcBorders>
              <w:top w:val="single" w:color="auto" w:sz="4" w:space="0"/>
              <w:left w:val="single" w:color="auto" w:sz="4" w:space="0"/>
              <w:bottom w:val="single" w:color="auto" w:sz="4" w:space="0"/>
              <w:right w:val="single" w:color="auto" w:sz="4" w:space="0"/>
            </w:tcBorders>
            <w:shd w:val="clear" w:color="auto" w:fill="auto"/>
            <w:vAlign w:val="center"/>
          </w:tcPr>
          <w:p w14:paraId="2F90AC46">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理论讲授、综合案例研讨（结合全章知识解决复杂纠纷）</w:t>
            </w:r>
          </w:p>
        </w:tc>
      </w:tr>
    </w:tbl>
    <w:p w14:paraId="6C61EB8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p>
    <w:p w14:paraId="4D39F4C3">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四、考核内容</w:t>
      </w:r>
    </w:p>
    <w:p w14:paraId="601BB19F">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（一）知识考核</w:t>
      </w:r>
    </w:p>
    <w:p w14:paraId="4F39CF3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基础概念与原理：电子商务法的调整范围、基本原则、经营者分类、电子合同订立规则等核心知识点的掌握程度。</w:t>
      </w:r>
    </w:p>
    <w:p w14:paraId="20A2681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法条应用能力：能准确引用《电子商务法》及配套规章的条款，分析实务问题（如“平台‘二选一’违反《电子商务法》第三十五条”）。</w:t>
      </w:r>
    </w:p>
    <w:p w14:paraId="7DDFCD6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体系化理解：能梳理电子商务法与相关法律的衔接逻辑（如电子合同与《民法典》合同编的适用关系），把握电子商务法治体系的整体框架。</w:t>
      </w:r>
    </w:p>
    <w:p w14:paraId="21699176">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（二）能力考核</w:t>
      </w:r>
    </w:p>
    <w:p w14:paraId="4358C62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案例分析能力：能从案例中识别法律关系、明确争议焦点、依据法条提出责任划分与解决方案（如“电子支付错误的责任归属”）。</w:t>
      </w:r>
    </w:p>
    <w:p w14:paraId="2A31B9B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合规方案设计能力：能针对特定场景（如跨境电商入驻亚马逊欧洲站、平台商家资质审核）设计合规流程，覆盖主体资格、数据保护、消费者权益等环节。</w:t>
      </w:r>
    </w:p>
    <w:p w14:paraId="1F74965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争议解决能力：能选择恰当的争议解决途径（如在线调解、互联网法院诉讼），模拟处理电子商务纠纷（如“消费者因商品与直播宣传不符维权”）。</w:t>
      </w:r>
    </w:p>
    <w:p w14:paraId="2F65969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p>
    <w:p w14:paraId="1B43B4C3">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五、考核方式</w:t>
      </w:r>
    </w:p>
    <w:p w14:paraId="74C9B43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本课程采用“平时成绩+期末考核”综合考核方式，总分100分，具体占比与要求如下：</w:t>
      </w:r>
    </w:p>
    <w:tbl>
      <w:tblPr>
        <w:tblStyle w:val="7"/>
        <w:tblW w:w="8522" w:type="dxa"/>
        <w:jc w:val="center"/>
        <w:tblBorders>
          <w:top w:val="none" w:color="auto" w:sz="0" w:space="0"/>
          <w:left w:val="single" w:color="auto" w:sz="2" w:space="0"/>
          <w:bottom w:val="single" w:color="auto" w:sz="2" w:space="0"/>
          <w:right w:val="single" w:color="auto" w:sz="2" w:space="0"/>
          <w:insideH w:val="none" w:color="auto" w:sz="0" w:space="0"/>
          <w:insideV w:val="none" w:color="auto" w:sz="0" w:space="0"/>
        </w:tblBorders>
        <w:shd w:val="clear" w:color="auto" w:fill="auto"/>
        <w:tblLayout w:type="fixed"/>
        <w:tblCellMar>
          <w:top w:w="80" w:type="dxa"/>
          <w:left w:w="128" w:type="dxa"/>
          <w:bottom w:w="80" w:type="dxa"/>
          <w:right w:w="128" w:type="dxa"/>
        </w:tblCellMar>
      </w:tblPr>
      <w:tblGrid>
        <w:gridCol w:w="1280"/>
        <w:gridCol w:w="856"/>
        <w:gridCol w:w="6386"/>
      </w:tblGrid>
      <w:tr w14:paraId="718EB6DC">
        <w:tblPrEx>
          <w:tblBorders>
            <w:top w:val="none" w:color="auto" w:sz="0" w:space="0"/>
            <w:left w:val="single" w:color="auto" w:sz="2" w:space="0"/>
            <w:bottom w:val="single" w:color="auto" w:sz="2" w:space="0"/>
            <w:right w:val="single" w:color="auto" w:sz="2" w:space="0"/>
            <w:insideH w:val="none" w:color="auto" w:sz="0" w:space="0"/>
            <w:insideV w:val="none" w:color="auto" w:sz="0" w:space="0"/>
          </w:tblBorders>
          <w:shd w:val="clear" w:color="auto" w:fill="auto"/>
          <w:tblCellMar>
            <w:top w:w="80" w:type="dxa"/>
            <w:left w:w="128" w:type="dxa"/>
            <w:bottom w:w="80" w:type="dxa"/>
            <w:right w:w="128" w:type="dxa"/>
          </w:tblCellMar>
        </w:tblPrEx>
        <w:trPr>
          <w:trHeight w:val="0" w:hRule="atLeast"/>
          <w:tblHeader/>
          <w:jc w:val="center"/>
        </w:trPr>
        <w:tc>
          <w:tcPr>
            <w:tcW w:w="1280" w:type="dxa"/>
            <w:tcBorders>
              <w:top w:val="single" w:color="auto" w:sz="4" w:space="0"/>
              <w:left w:val="single" w:color="auto" w:sz="4" w:space="0"/>
              <w:bottom w:val="single" w:color="auto" w:sz="4" w:space="0"/>
              <w:right w:val="single" w:color="auto" w:sz="4" w:space="0"/>
            </w:tcBorders>
            <w:shd w:val="clear" w:color="auto" w:fill="auto"/>
            <w:vAlign w:val="center"/>
          </w:tcPr>
          <w:p w14:paraId="41006A87">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sz w:val="21"/>
                <w:szCs w:val="21"/>
              </w:rPr>
            </w:pPr>
            <w:r>
              <w:rPr>
                <w:rFonts w:hint="eastAsia" w:ascii="宋体" w:hAnsi="宋体" w:eastAsia="宋体" w:cs="宋体"/>
                <w:b/>
                <w:sz w:val="21"/>
                <w:szCs w:val="21"/>
                <w:lang w:val="en-US" w:eastAsia="zh-CN"/>
              </w:rPr>
              <w:t>考核类型</w:t>
            </w:r>
          </w:p>
        </w:tc>
        <w:tc>
          <w:tcPr>
            <w:tcW w:w="856" w:type="dxa"/>
            <w:tcBorders>
              <w:top w:val="single" w:color="auto" w:sz="4" w:space="0"/>
              <w:left w:val="single" w:color="auto" w:sz="4" w:space="0"/>
              <w:bottom w:val="single" w:color="auto" w:sz="4" w:space="0"/>
              <w:right w:val="single" w:color="auto" w:sz="4" w:space="0"/>
            </w:tcBorders>
            <w:shd w:val="clear" w:color="auto" w:fill="auto"/>
            <w:vAlign w:val="center"/>
          </w:tcPr>
          <w:p w14:paraId="1C8D090B">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sz w:val="21"/>
                <w:szCs w:val="21"/>
              </w:rPr>
            </w:pPr>
            <w:r>
              <w:rPr>
                <w:rFonts w:hint="eastAsia" w:ascii="宋体" w:hAnsi="宋体" w:eastAsia="宋体" w:cs="宋体"/>
                <w:b/>
                <w:sz w:val="21"/>
                <w:szCs w:val="21"/>
                <w:lang w:val="en-US" w:eastAsia="zh-CN"/>
              </w:rPr>
              <w:t>占比</w:t>
            </w:r>
          </w:p>
        </w:tc>
        <w:tc>
          <w:tcPr>
            <w:tcW w:w="6386" w:type="dxa"/>
            <w:tcBorders>
              <w:top w:val="single" w:color="auto" w:sz="4" w:space="0"/>
              <w:left w:val="single" w:color="auto" w:sz="4" w:space="0"/>
              <w:bottom w:val="single" w:color="auto" w:sz="4" w:space="0"/>
              <w:right w:val="single" w:color="auto" w:sz="4" w:space="0"/>
            </w:tcBorders>
            <w:shd w:val="clear" w:color="auto" w:fill="auto"/>
            <w:vAlign w:val="center"/>
          </w:tcPr>
          <w:p w14:paraId="4EB83A0A">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sz w:val="21"/>
                <w:szCs w:val="21"/>
              </w:rPr>
            </w:pPr>
            <w:r>
              <w:rPr>
                <w:rFonts w:hint="eastAsia" w:ascii="宋体" w:hAnsi="宋体" w:eastAsia="宋体" w:cs="宋体"/>
                <w:b/>
                <w:sz w:val="21"/>
                <w:szCs w:val="21"/>
                <w:lang w:val="en-US" w:eastAsia="zh-CN"/>
              </w:rPr>
              <w:t>具体要求</w:t>
            </w:r>
          </w:p>
        </w:tc>
      </w:tr>
      <w:tr w14:paraId="2B8E8065">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80" w:type="dxa"/>
            <w:left w:w="128" w:type="dxa"/>
            <w:bottom w:w="80" w:type="dxa"/>
            <w:right w:w="128" w:type="dxa"/>
          </w:tblCellMar>
        </w:tblPrEx>
        <w:trPr>
          <w:trHeight w:val="0" w:hRule="atLeast"/>
          <w:jc w:val="center"/>
        </w:trPr>
        <w:tc>
          <w:tcPr>
            <w:tcW w:w="1280" w:type="dxa"/>
            <w:tcBorders>
              <w:top w:val="single" w:color="auto" w:sz="4" w:space="0"/>
              <w:left w:val="single" w:color="auto" w:sz="4" w:space="0"/>
              <w:bottom w:val="single" w:color="auto" w:sz="4" w:space="0"/>
              <w:right w:val="single" w:color="auto" w:sz="4" w:space="0"/>
            </w:tcBorders>
            <w:shd w:val="clear" w:color="auto" w:fill="auto"/>
            <w:vAlign w:val="center"/>
          </w:tcPr>
          <w:p w14:paraId="7EC9664D">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平时成绩</w:t>
            </w:r>
          </w:p>
        </w:tc>
        <w:tc>
          <w:tcPr>
            <w:tcW w:w="856" w:type="dxa"/>
            <w:tcBorders>
              <w:top w:val="single" w:color="auto" w:sz="4" w:space="0"/>
              <w:left w:val="single" w:color="auto" w:sz="4" w:space="0"/>
              <w:bottom w:val="single" w:color="auto" w:sz="4" w:space="0"/>
              <w:right w:val="single" w:color="auto" w:sz="4" w:space="0"/>
            </w:tcBorders>
            <w:shd w:val="clear" w:color="auto" w:fill="auto"/>
            <w:vAlign w:val="center"/>
          </w:tcPr>
          <w:p w14:paraId="511C13ED">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50%</w:t>
            </w:r>
          </w:p>
        </w:tc>
        <w:tc>
          <w:tcPr>
            <w:tcW w:w="6386" w:type="dxa"/>
            <w:tcBorders>
              <w:top w:val="single" w:color="auto" w:sz="4" w:space="0"/>
              <w:left w:val="single" w:color="auto" w:sz="4" w:space="0"/>
              <w:bottom w:val="single" w:color="auto" w:sz="4" w:space="0"/>
              <w:right w:val="single" w:color="auto" w:sz="4" w:space="0"/>
            </w:tcBorders>
            <w:shd w:val="clear" w:color="auto" w:fill="auto"/>
            <w:vAlign w:val="top"/>
          </w:tcPr>
          <w:p w14:paraId="6C70EFF1">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1.课堂表现（15%）：出勤情况（5%）：无无故缺勤，请假需提供有效证明；课堂参与（10%）：主动参与案例讨论、法条解读，能结合教材内容发表观点（如分析“数据收集的‘合法、正当、必要’原则”）</w:t>
            </w:r>
          </w:p>
          <w:p w14:paraId="6CE6B78F">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实践作业（20%）：共3次实践任务：“电子商务平台入驻流程设计”“农村电商促进方案”“跨境电商合规方案”；评分标准：合规性（贴合教材法条，40%）、完整性（覆盖教材要求的核心环节，30%）、可行性（参考教材案例设计落地步骤，30%）</w:t>
            </w:r>
          </w:p>
          <w:p w14:paraId="4EECFF2A">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3.案例分析报告（15%）：提交1份实务案例分析报告（选题范围：数据泄露纠纷、跨境电商备案争议、电子合同效力争议等）；报告需包含：案情介绍（20%）、教材法条依据（30%）、责任认定（结合教材责任规则，30%）、解决方案（参考教材应对策略，20%）</w:t>
            </w:r>
          </w:p>
        </w:tc>
      </w:tr>
      <w:tr w14:paraId="3CE10B2E">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80" w:type="dxa"/>
            <w:left w:w="128" w:type="dxa"/>
            <w:bottom w:w="80" w:type="dxa"/>
            <w:right w:w="128" w:type="dxa"/>
          </w:tblCellMar>
        </w:tblPrEx>
        <w:trPr>
          <w:trHeight w:val="0" w:hRule="atLeast"/>
          <w:jc w:val="center"/>
        </w:trPr>
        <w:tc>
          <w:tcPr>
            <w:tcW w:w="1280" w:type="dxa"/>
            <w:tcBorders>
              <w:top w:val="single" w:color="auto" w:sz="4" w:space="0"/>
              <w:left w:val="single" w:color="auto" w:sz="4" w:space="0"/>
              <w:bottom w:val="single" w:color="auto" w:sz="4" w:space="0"/>
              <w:right w:val="single" w:color="auto" w:sz="4" w:space="0"/>
            </w:tcBorders>
            <w:shd w:val="clear" w:color="auto" w:fill="auto"/>
            <w:vAlign w:val="center"/>
          </w:tcPr>
          <w:p w14:paraId="568A3E88">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期末考核</w:t>
            </w:r>
          </w:p>
        </w:tc>
        <w:tc>
          <w:tcPr>
            <w:tcW w:w="856" w:type="dxa"/>
            <w:tcBorders>
              <w:top w:val="single" w:color="auto" w:sz="4" w:space="0"/>
              <w:left w:val="single" w:color="auto" w:sz="4" w:space="0"/>
              <w:bottom w:val="single" w:color="auto" w:sz="4" w:space="0"/>
              <w:right w:val="single" w:color="auto" w:sz="4" w:space="0"/>
            </w:tcBorders>
            <w:shd w:val="clear" w:color="auto" w:fill="auto"/>
            <w:vAlign w:val="center"/>
          </w:tcPr>
          <w:p w14:paraId="673584C1">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50%</w:t>
            </w:r>
          </w:p>
        </w:tc>
        <w:tc>
          <w:tcPr>
            <w:tcW w:w="6386" w:type="dxa"/>
            <w:tcBorders>
              <w:top w:val="single" w:color="auto" w:sz="4" w:space="0"/>
              <w:left w:val="single" w:color="auto" w:sz="4" w:space="0"/>
              <w:bottom w:val="single" w:color="auto" w:sz="4" w:space="0"/>
              <w:right w:val="single" w:color="auto" w:sz="4" w:space="0"/>
            </w:tcBorders>
            <w:shd w:val="clear" w:color="auto" w:fill="auto"/>
            <w:vAlign w:val="top"/>
          </w:tcPr>
          <w:p w14:paraId="273CB9E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1.考核形式：闭卷笔试（案例分析题为主，共45题）</w:t>
            </w:r>
          </w:p>
          <w:p w14:paraId="42D7EEC7">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2.考核内容：覆盖教材8章核心知识，素材源于教材典型案例或延伸场景（如“平台未公示配送费规则的行政处罚”“跨境电商商品未贴中文标签的合规整改”）</w:t>
            </w:r>
          </w:p>
          <w:p w14:paraId="4231F549">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3.评分标准：教材条款引用准确性（40%）：能精准引用对应法条（如《电子商务法》第五十一条“标的交付时间”）；分析深度（30%）：结合教材中经营者义务、责任划分等内容，逻辑清晰推导结论；方案可行性（30%）：参考教材实践要求，提出具体可操作的合规或整改建议</w:t>
            </w:r>
          </w:p>
        </w:tc>
      </w:tr>
    </w:tbl>
    <w:p w14:paraId="2AEC9D8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654C5C">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9CCFB4">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09CCFB4">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69744B"/>
    <w:rsid w:val="01710365"/>
    <w:rsid w:val="01714809"/>
    <w:rsid w:val="01B6046E"/>
    <w:rsid w:val="024C0DD3"/>
    <w:rsid w:val="02510197"/>
    <w:rsid w:val="027E4FEB"/>
    <w:rsid w:val="02AE7397"/>
    <w:rsid w:val="033B50CF"/>
    <w:rsid w:val="0394658D"/>
    <w:rsid w:val="04074FB1"/>
    <w:rsid w:val="04BF3ADE"/>
    <w:rsid w:val="05410997"/>
    <w:rsid w:val="05B44CC5"/>
    <w:rsid w:val="06BA455D"/>
    <w:rsid w:val="06CE1DB6"/>
    <w:rsid w:val="06D82C35"/>
    <w:rsid w:val="070B4DB8"/>
    <w:rsid w:val="07140111"/>
    <w:rsid w:val="07EA70C4"/>
    <w:rsid w:val="082E5202"/>
    <w:rsid w:val="08744BDF"/>
    <w:rsid w:val="087B41C0"/>
    <w:rsid w:val="08CC0577"/>
    <w:rsid w:val="092B1742"/>
    <w:rsid w:val="0A854E82"/>
    <w:rsid w:val="0A8C7FBE"/>
    <w:rsid w:val="0ACC2AB1"/>
    <w:rsid w:val="0B93537C"/>
    <w:rsid w:val="0BB352F2"/>
    <w:rsid w:val="0BB772BD"/>
    <w:rsid w:val="0C012C2E"/>
    <w:rsid w:val="0C3628D7"/>
    <w:rsid w:val="0C5E1E2E"/>
    <w:rsid w:val="0CCF0636"/>
    <w:rsid w:val="0CE00A95"/>
    <w:rsid w:val="0D077DD0"/>
    <w:rsid w:val="0E1E3623"/>
    <w:rsid w:val="0FC621C4"/>
    <w:rsid w:val="0FFA1E6E"/>
    <w:rsid w:val="10120F66"/>
    <w:rsid w:val="105D213F"/>
    <w:rsid w:val="10BC7123"/>
    <w:rsid w:val="10D426BF"/>
    <w:rsid w:val="11140D0D"/>
    <w:rsid w:val="119A0D13"/>
    <w:rsid w:val="11A025A1"/>
    <w:rsid w:val="12F47048"/>
    <w:rsid w:val="136525A5"/>
    <w:rsid w:val="13B32A60"/>
    <w:rsid w:val="13BF1404"/>
    <w:rsid w:val="152F6116"/>
    <w:rsid w:val="15BE749A"/>
    <w:rsid w:val="165F2A2B"/>
    <w:rsid w:val="16726C02"/>
    <w:rsid w:val="170F26A3"/>
    <w:rsid w:val="17435EA8"/>
    <w:rsid w:val="17625DE8"/>
    <w:rsid w:val="18383533"/>
    <w:rsid w:val="184620F4"/>
    <w:rsid w:val="199C7AF2"/>
    <w:rsid w:val="19E020D4"/>
    <w:rsid w:val="1A2A3350"/>
    <w:rsid w:val="1A5403CD"/>
    <w:rsid w:val="1AA44EB0"/>
    <w:rsid w:val="1B046B18"/>
    <w:rsid w:val="1B522B5E"/>
    <w:rsid w:val="1B5543FC"/>
    <w:rsid w:val="1B79633D"/>
    <w:rsid w:val="1B9E5DA3"/>
    <w:rsid w:val="1D0E51AB"/>
    <w:rsid w:val="1D6D3C7F"/>
    <w:rsid w:val="1D7414B2"/>
    <w:rsid w:val="1E5866DD"/>
    <w:rsid w:val="1E672DC4"/>
    <w:rsid w:val="1F32234B"/>
    <w:rsid w:val="20A53730"/>
    <w:rsid w:val="20F16975"/>
    <w:rsid w:val="21366A7E"/>
    <w:rsid w:val="21466CC1"/>
    <w:rsid w:val="21817CF9"/>
    <w:rsid w:val="21AD4F92"/>
    <w:rsid w:val="21B87493"/>
    <w:rsid w:val="230C7A96"/>
    <w:rsid w:val="232A43C0"/>
    <w:rsid w:val="23EE3640"/>
    <w:rsid w:val="245B6F27"/>
    <w:rsid w:val="24A00DDE"/>
    <w:rsid w:val="24AF4B7D"/>
    <w:rsid w:val="25754019"/>
    <w:rsid w:val="25CB59E7"/>
    <w:rsid w:val="261F21D6"/>
    <w:rsid w:val="269F0C21"/>
    <w:rsid w:val="26DB434F"/>
    <w:rsid w:val="27363334"/>
    <w:rsid w:val="275B2D9A"/>
    <w:rsid w:val="27D33279"/>
    <w:rsid w:val="27DA0163"/>
    <w:rsid w:val="28397580"/>
    <w:rsid w:val="286E4D4F"/>
    <w:rsid w:val="28BA1D43"/>
    <w:rsid w:val="29437F8A"/>
    <w:rsid w:val="294A6C02"/>
    <w:rsid w:val="29AF2F8F"/>
    <w:rsid w:val="29E452C9"/>
    <w:rsid w:val="29F37C02"/>
    <w:rsid w:val="29FD282F"/>
    <w:rsid w:val="2A1C0F07"/>
    <w:rsid w:val="2A2C0A1E"/>
    <w:rsid w:val="2A8A2314"/>
    <w:rsid w:val="2B5244B4"/>
    <w:rsid w:val="2B8C5C18"/>
    <w:rsid w:val="2BBD04C8"/>
    <w:rsid w:val="2BC929C8"/>
    <w:rsid w:val="2BD650E5"/>
    <w:rsid w:val="2CB216AE"/>
    <w:rsid w:val="2CF33A75"/>
    <w:rsid w:val="2D1C7470"/>
    <w:rsid w:val="2D4D13D7"/>
    <w:rsid w:val="2D574004"/>
    <w:rsid w:val="2D7828F8"/>
    <w:rsid w:val="2ECC4926"/>
    <w:rsid w:val="2ECD6C74"/>
    <w:rsid w:val="2FB13E9F"/>
    <w:rsid w:val="2FF975F4"/>
    <w:rsid w:val="30185CCC"/>
    <w:rsid w:val="301A6076"/>
    <w:rsid w:val="302E3742"/>
    <w:rsid w:val="313E5C07"/>
    <w:rsid w:val="315A40C3"/>
    <w:rsid w:val="31AD4B3A"/>
    <w:rsid w:val="31FC517A"/>
    <w:rsid w:val="338418CB"/>
    <w:rsid w:val="33C817B8"/>
    <w:rsid w:val="33CD5020"/>
    <w:rsid w:val="34360C26"/>
    <w:rsid w:val="3437693D"/>
    <w:rsid w:val="349F4C0E"/>
    <w:rsid w:val="34B65AB4"/>
    <w:rsid w:val="352073D1"/>
    <w:rsid w:val="35AD335B"/>
    <w:rsid w:val="35C16E06"/>
    <w:rsid w:val="35F5260C"/>
    <w:rsid w:val="374B4FD5"/>
    <w:rsid w:val="383B4C4E"/>
    <w:rsid w:val="38DE55D9"/>
    <w:rsid w:val="38F512A1"/>
    <w:rsid w:val="396106E4"/>
    <w:rsid w:val="3A094ACB"/>
    <w:rsid w:val="3A10210A"/>
    <w:rsid w:val="3A184B1B"/>
    <w:rsid w:val="3A7B57D6"/>
    <w:rsid w:val="3AF70BD4"/>
    <w:rsid w:val="3B4200A1"/>
    <w:rsid w:val="3BC66F24"/>
    <w:rsid w:val="3C850B8E"/>
    <w:rsid w:val="3C9F32D2"/>
    <w:rsid w:val="3DD1570D"/>
    <w:rsid w:val="3E693B97"/>
    <w:rsid w:val="3E9A782C"/>
    <w:rsid w:val="3F312907"/>
    <w:rsid w:val="3F487C50"/>
    <w:rsid w:val="3FC75019"/>
    <w:rsid w:val="3FFB4CC3"/>
    <w:rsid w:val="40D7128C"/>
    <w:rsid w:val="40E85247"/>
    <w:rsid w:val="41597EF3"/>
    <w:rsid w:val="41D1217F"/>
    <w:rsid w:val="425F59DD"/>
    <w:rsid w:val="428B0580"/>
    <w:rsid w:val="42E234D8"/>
    <w:rsid w:val="437F7674"/>
    <w:rsid w:val="43B65AD0"/>
    <w:rsid w:val="43F263DD"/>
    <w:rsid w:val="44986F84"/>
    <w:rsid w:val="44A41DCD"/>
    <w:rsid w:val="44B518E4"/>
    <w:rsid w:val="45062140"/>
    <w:rsid w:val="45B002FD"/>
    <w:rsid w:val="467A1037"/>
    <w:rsid w:val="46853538"/>
    <w:rsid w:val="46BD0F24"/>
    <w:rsid w:val="47044DA5"/>
    <w:rsid w:val="4704723E"/>
    <w:rsid w:val="47190850"/>
    <w:rsid w:val="471F1BDF"/>
    <w:rsid w:val="475A6773"/>
    <w:rsid w:val="48254FD3"/>
    <w:rsid w:val="482A4397"/>
    <w:rsid w:val="484D62D8"/>
    <w:rsid w:val="486D24D6"/>
    <w:rsid w:val="48AB197C"/>
    <w:rsid w:val="49B54134"/>
    <w:rsid w:val="49ED38CE"/>
    <w:rsid w:val="4A547DF1"/>
    <w:rsid w:val="4A5E2A1E"/>
    <w:rsid w:val="4A5E657A"/>
    <w:rsid w:val="4A7B712C"/>
    <w:rsid w:val="4A857FAB"/>
    <w:rsid w:val="4A9F72BE"/>
    <w:rsid w:val="4BFE1F95"/>
    <w:rsid w:val="4C1415E6"/>
    <w:rsid w:val="4C465518"/>
    <w:rsid w:val="4D6C7200"/>
    <w:rsid w:val="4DA60964"/>
    <w:rsid w:val="4E8A2033"/>
    <w:rsid w:val="508456FD"/>
    <w:rsid w:val="50D5061B"/>
    <w:rsid w:val="50DB0924"/>
    <w:rsid w:val="50DB26D2"/>
    <w:rsid w:val="51181B78"/>
    <w:rsid w:val="51856AE2"/>
    <w:rsid w:val="51FE0D6E"/>
    <w:rsid w:val="52F1442F"/>
    <w:rsid w:val="53603363"/>
    <w:rsid w:val="537A08C9"/>
    <w:rsid w:val="543A0058"/>
    <w:rsid w:val="54624EB9"/>
    <w:rsid w:val="559B68D4"/>
    <w:rsid w:val="55BB0D24"/>
    <w:rsid w:val="56D55E16"/>
    <w:rsid w:val="574F5BC8"/>
    <w:rsid w:val="57527466"/>
    <w:rsid w:val="5822508B"/>
    <w:rsid w:val="58533496"/>
    <w:rsid w:val="58BD4DB3"/>
    <w:rsid w:val="58D97E3F"/>
    <w:rsid w:val="596F60AE"/>
    <w:rsid w:val="59706A20"/>
    <w:rsid w:val="597E09E7"/>
    <w:rsid w:val="59CC3500"/>
    <w:rsid w:val="59EC5950"/>
    <w:rsid w:val="5B1769FD"/>
    <w:rsid w:val="5B7A6F8C"/>
    <w:rsid w:val="5BAF1477"/>
    <w:rsid w:val="5E211941"/>
    <w:rsid w:val="5E5B12F6"/>
    <w:rsid w:val="5EA227E4"/>
    <w:rsid w:val="5EEC43C3"/>
    <w:rsid w:val="5EFD415C"/>
    <w:rsid w:val="5F6917F1"/>
    <w:rsid w:val="5FE01AB3"/>
    <w:rsid w:val="5FF94923"/>
    <w:rsid w:val="608763D3"/>
    <w:rsid w:val="610E2650"/>
    <w:rsid w:val="61452737"/>
    <w:rsid w:val="61863B99"/>
    <w:rsid w:val="619C7C5C"/>
    <w:rsid w:val="61DD359F"/>
    <w:rsid w:val="62061579"/>
    <w:rsid w:val="623E0D13"/>
    <w:rsid w:val="628F156F"/>
    <w:rsid w:val="633914DA"/>
    <w:rsid w:val="64041AE8"/>
    <w:rsid w:val="643B7C00"/>
    <w:rsid w:val="645C1924"/>
    <w:rsid w:val="649B244D"/>
    <w:rsid w:val="64F34037"/>
    <w:rsid w:val="652E1513"/>
    <w:rsid w:val="65504C7D"/>
    <w:rsid w:val="660D737A"/>
    <w:rsid w:val="661324B7"/>
    <w:rsid w:val="664408C2"/>
    <w:rsid w:val="66CD4D5B"/>
    <w:rsid w:val="6760797E"/>
    <w:rsid w:val="67E22141"/>
    <w:rsid w:val="687A05CB"/>
    <w:rsid w:val="69232A11"/>
    <w:rsid w:val="6954706E"/>
    <w:rsid w:val="698E07D2"/>
    <w:rsid w:val="69D1246D"/>
    <w:rsid w:val="6A0171F6"/>
    <w:rsid w:val="6A5D1F52"/>
    <w:rsid w:val="6A731776"/>
    <w:rsid w:val="6B574BF4"/>
    <w:rsid w:val="6B8F438D"/>
    <w:rsid w:val="6C9D2ADA"/>
    <w:rsid w:val="6CA9147F"/>
    <w:rsid w:val="6D196605"/>
    <w:rsid w:val="6D3F3613"/>
    <w:rsid w:val="6D9B2006"/>
    <w:rsid w:val="6DE85FD7"/>
    <w:rsid w:val="6E851A78"/>
    <w:rsid w:val="6F457B85"/>
    <w:rsid w:val="6F907CB4"/>
    <w:rsid w:val="6FCF38F2"/>
    <w:rsid w:val="7089584F"/>
    <w:rsid w:val="709A7A5C"/>
    <w:rsid w:val="70FA499F"/>
    <w:rsid w:val="71A16F72"/>
    <w:rsid w:val="72A11576"/>
    <w:rsid w:val="72A72905"/>
    <w:rsid w:val="72BD5C84"/>
    <w:rsid w:val="72EC6569"/>
    <w:rsid w:val="7318110C"/>
    <w:rsid w:val="73814F04"/>
    <w:rsid w:val="74147B26"/>
    <w:rsid w:val="74716D26"/>
    <w:rsid w:val="759E1D9D"/>
    <w:rsid w:val="75AD1FE0"/>
    <w:rsid w:val="75C906A6"/>
    <w:rsid w:val="76191423"/>
    <w:rsid w:val="763B75EC"/>
    <w:rsid w:val="76564426"/>
    <w:rsid w:val="771B741D"/>
    <w:rsid w:val="77BF249E"/>
    <w:rsid w:val="78B43685"/>
    <w:rsid w:val="7961380D"/>
    <w:rsid w:val="7A102B3D"/>
    <w:rsid w:val="7A6D4434"/>
    <w:rsid w:val="7ABE6A3D"/>
    <w:rsid w:val="7ACF29F8"/>
    <w:rsid w:val="7AEA15E0"/>
    <w:rsid w:val="7B2965AD"/>
    <w:rsid w:val="7B5178B1"/>
    <w:rsid w:val="7B786BEC"/>
    <w:rsid w:val="7C792C1C"/>
    <w:rsid w:val="7CA37C99"/>
    <w:rsid w:val="7D162B61"/>
    <w:rsid w:val="7D1C0D35"/>
    <w:rsid w:val="7F587460"/>
    <w:rsid w:val="7F8D69DE"/>
    <w:rsid w:val="7FAF4BA7"/>
    <w:rsid w:val="7FB346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18044</Words>
  <Characters>18495</Characters>
  <Lines>0</Lines>
  <Paragraphs>0</Paragraphs>
  <TotalTime>2</TotalTime>
  <ScaleCrop>false</ScaleCrop>
  <LinksUpToDate>false</LinksUpToDate>
  <CharactersWithSpaces>19334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2025-10-10T07:07:00Z</dcterms:created>
  <dc:creator>BHP</dc:creator>
  <cp:lastModifiedBy>soon4429</cp:lastModifiedBy>
  <dcterms:modified xsi:type="dcterms:W3CDTF">2025-10-14T08:17:28Z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eyJoZGlkIjoiM2FkYjEyZmYyNTRiZmYyZWMwZDAwNDk0ZDQ5MjhjY2QiLCJ1c2VySWQiOiI3OTc0OTYwODIifQ==</vt:lpwstr>
  </property>
  <property fmtid="{D5CDD505-2E9C-101B-9397-08002B2CF9AE}" pid="4" name="ICV">
    <vt:lpwstr>5BBC2AE2714348A78938E509E45B7459_12</vt:lpwstr>
  </property>
</Properties>
</file>